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BOHEMIKON </w:t>
      </w:r>
    </w:p>
    <w:p w:rsidR="00000000" w:rsidDel="00000000" w:rsidP="00000000" w:rsidRDefault="00000000" w:rsidRPr="00000000" w14:paraId="00000004">
      <w:pPr>
        <w:spacing w:after="20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Mezinárodní vědecká konference mladých bohemistů v Záhřebu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Záhřeb 5. - 6. května 2023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662"/>
        <w:tblGridChange w:id="0">
          <w:tblGrid>
            <w:gridCol w:w="2802"/>
            <w:gridCol w:w="66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240" w:line="36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Akademický titul/vědecká hodnost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Telefonní/mobilní číslo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Pracoviště (název a adresa)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Doktorand (prosíme, označte)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ano / 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Název příspěvku (v jazyce příspěvku)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1.8945312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Anotace (do 250 slov) a klíčová slova (do 5) v jazyce příspěvku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Témata (prosíme, označte)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before="200"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Kapitoly z dějin české literatury (autoři, díla, literární období)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Recepce české literatury v Česku a ve světě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Česko-chorvatské a/nebo slavistické komparace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Jazyková kultura a standardizace češtiny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Srovnávací česko-chorvatská a/nebo slavistická témata z oblasti literatury, lingvistiky, historie a kultury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Bohemistika na univerzitách mimo ČR – zkušenosti a perspektivy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Výuka češtiny jako cizího jazyka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Česká menšina v Chorvatsku a ve světě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360" w:lineRule="auto"/>
              <w:ind w:left="1140" w:hanging="360"/>
              <w:jc w:val="both"/>
            </w:pPr>
            <w:r w:rsidDel="00000000" w:rsidR="00000000" w:rsidRPr="00000000">
              <w:rPr>
                <w:rtl w:val="0"/>
              </w:rPr>
              <w:t xml:space="preserve">Jiné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1" w:customStyle="1">
    <w:name w:val="Rešetka tablice1"/>
    <w:basedOn w:val="Obinatablica"/>
    <w:next w:val="Reetkatablice"/>
    <w:uiPriority w:val="59"/>
    <w:rsid w:val="00B6659A"/>
    <w:pPr>
      <w:spacing w:after="0" w:line="240" w:lineRule="auto"/>
    </w:pPr>
    <w:rPr>
      <w:rFonts w:ascii="Times New Roman" w:cs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eetkatablice">
    <w:name w:val="Table Grid"/>
    <w:basedOn w:val="Obinatablica"/>
    <w:uiPriority w:val="39"/>
    <w:rsid w:val="00B665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5YQRVTE8g7qDcgv0V8oHEhJjQ==">AMUW2mWwypj6TIa7PT5a7qZPbxEgZ+likOqsdBrI9CFXNemReaMpBnaec+9oG/Okm+L/yqy99ggH6QxGUpp7v/UeQzq29PbqEbjGrFnmniVAFnPF06ftIoo=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2021-12-09T16:42:00Z</dcterms:created>
  <dc:creator>martina</dc:creator>
</cp:coreProperties>
</file>